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2060"/>
          <w:sz w:val="44"/>
        </w:rPr>
        <w:t>Professional Guide for Opening a Private Primary Care Clinic in the Dominican Republic</w:t>
      </w:r>
    </w:p>
    <w:p>
      <w:pPr>
        <w:jc w:val="center"/>
      </w:pPr>
      <w:r>
        <w:rPr>
          <w:i/>
          <w:color w:val="595959"/>
          <w:sz w:val="24"/>
        </w:rPr>
        <w:t>General orientation document for physicians and professionals interested in establishing private healthcare services</w:t>
      </w:r>
    </w:p>
    <w:tbl>
      <w:tblPr>
        <w:tblW w:type="auto" w:w="0"/>
        <w:jc w:val="center"/>
        <w:tblLook w:firstColumn="1" w:firstRow="1" w:lastColumn="0" w:lastRow="0" w:noHBand="0" w:noVBand="1" w:val="04A0"/>
      </w:tblPr>
      <w:tblGrid>
        <w:gridCol w:w="10224"/>
      </w:tblGrid>
      <w:tr>
        <w:tc>
          <w:tcPr>
            <w:tcW w:type="dxa" w:w="10224"/>
            <w:shd w:fill="002060"/>
            <w:vAlign w:val="center"/>
          </w:tcPr>
          <w:p>
            <w:r/>
            <w:r>
              <w:rPr>
                <w:b/>
                <w:color w:val="FFFFFF"/>
                <w:sz w:val="20"/>
              </w:rPr>
              <w:t>AHPSI Contact: 732-277-9640 | info@ahpsi.org | Dominican Republic | Private Primary Care</w:t>
            </w:r>
          </w:p>
        </w:tc>
      </w:tr>
    </w:tbl>
    <w:p>
      <w:pPr>
        <w:pStyle w:val="Heading1"/>
      </w:pPr>
      <w:r>
        <w:rPr>
          <w:color w:val="002060"/>
        </w:rPr>
        <w:t>Important Notice</w:t>
      </w:r>
    </w:p>
    <w:p>
      <w:pPr>
        <w:spacing w:after="120" w:line="259" w:lineRule="auto"/>
      </w:pPr>
      <w:r>
        <w:t>This document is a general legal-orientation guide. It does not replace consultation with an attorney, certified public accountant, sanitary architect/engineer, or direct validation with the competent Dominican authorities. Requirements, fees, forms, bank accounts, and response times may change. Before filing any documents or making payments, always confirm the current requirements through official institutional websites and offices.</w:t>
      </w:r>
    </w:p>
    <w:p>
      <w:pPr>
        <w:pStyle w:val="Heading1"/>
      </w:pPr>
      <w:r>
        <w:rPr>
          <w:color w:val="002060"/>
        </w:rPr>
        <w:t>Purpose of This Guide</w:t>
      </w:r>
    </w:p>
    <w:p>
      <w:pPr>
        <w:spacing w:after="120" w:line="259" w:lineRule="auto"/>
      </w:pPr>
      <w:r>
        <w:t>This guide organizes the main steps for a physician, investor, or healthcare professional interested in opening a private primary care clinic in the Dominican Republic. It assumes that the medical professional already has an approved or revalidated medical degree and is moving forward with the business, healthcare authorization, municipal, and professional requirements needed to operate legally.</w:t>
      </w:r>
    </w:p>
    <w:p>
      <w:pPr>
        <w:pStyle w:val="Heading1"/>
      </w:pPr>
      <w:r>
        <w:rPr>
          <w:color w:val="002060"/>
        </w:rPr>
        <w:t>Institutional Framework: Offices and Agencies to Consult</w:t>
      </w:r>
    </w:p>
    <w:p>
      <w:pPr>
        <w:pStyle w:val="ListBullet"/>
      </w:pPr>
      <w:r>
        <w:rPr>
          <w:b/>
        </w:rPr>
        <w:t xml:space="preserve">Ministry of Public Health and Social Assistance (MISPAS/MSP): </w:t>
      </w:r>
      <w:r>
        <w:t>Sanitary authorization of the establishment, registration of health services, inspections, exequatur-related requirements for health professions, and regulatory compliance. Website: www.msp.gob.do | General phone: 809-541-3121.</w:t>
      </w:r>
    </w:p>
    <w:p>
      <w:pPr>
        <w:pStyle w:val="ListBullet"/>
      </w:pPr>
      <w:r>
        <w:rPr>
          <w:b/>
        </w:rPr>
        <w:t xml:space="preserve">Directorate for Authorization of Health Services and Establishments / SIHA: </w:t>
      </w:r>
      <w:r>
        <w:t>Platform and procedures related to requests for sanitary authorization. Reference portals: dhses.msp.gob.do and siha.msp.gob.do/solicitud.php, subject to official availability.</w:t>
      </w:r>
    </w:p>
    <w:p>
      <w:pPr>
        <w:pStyle w:val="ListBullet"/>
      </w:pPr>
      <w:r>
        <w:rPr>
          <w:b/>
        </w:rPr>
        <w:t xml:space="preserve">National Office of Industrial Property (ONAPI): </w:t>
      </w:r>
      <w:r>
        <w:t>Registration of the clinic’s trade name, sign, or emblem. Website: www.onapi.gov.do | Phone: 809-567-7474 | Address: Av. De Los Proceres No. 11, Los Jardines del Norte, Santo Domingo.</w:t>
      </w:r>
    </w:p>
    <w:p>
      <w:pPr>
        <w:pStyle w:val="ListBullet"/>
      </w:pPr>
      <w:r>
        <w:rPr>
          <w:b/>
        </w:rPr>
        <w:t xml:space="preserve">Chamber of Commerce and Production: </w:t>
      </w:r>
      <w:r>
        <w:t>Commercial registration of the company or legal entity that will operate the clinic.</w:t>
      </w:r>
    </w:p>
    <w:p>
      <w:pPr>
        <w:pStyle w:val="ListBullet"/>
      </w:pPr>
      <w:r>
        <w:rPr>
          <w:b/>
        </w:rPr>
        <w:t xml:space="preserve">Internal Revenue Directorate (DGII): </w:t>
      </w:r>
      <w:r>
        <w:t>National Taxpayer Registry (RNC), fiscal obligations, tax receipts, tax compliance, and updates to taxpayer information. Website: www.dgii.gov.do.</w:t>
      </w:r>
    </w:p>
    <w:p>
      <w:pPr>
        <w:pStyle w:val="ListBullet"/>
      </w:pPr>
      <w:r>
        <w:rPr>
          <w:b/>
        </w:rPr>
        <w:t xml:space="preserve">Dominican Medical Association / Colegio Médico Dominicano (CMD): </w:t>
      </w:r>
      <w:r>
        <w:t>Professional membership of the physician, according to legal authorization to practice medicine. Website: www.cmd.org.do | Phone: 809-533-4602.</w:t>
      </w:r>
    </w:p>
    <w:p>
      <w:pPr>
        <w:pStyle w:val="ListBullet"/>
      </w:pPr>
      <w:r>
        <w:rPr>
          <w:b/>
        </w:rPr>
        <w:t xml:space="preserve">Local City Hall or Municipality: </w:t>
      </w:r>
      <w:r>
        <w:t>Land-use authorization, municipal permits, signage, construction/remodeling, waste collection, and other local permits.</w:t>
      </w:r>
    </w:p>
    <w:p>
      <w:pPr>
        <w:pStyle w:val="ListBullet"/>
      </w:pPr>
      <w:r>
        <w:rPr>
          <w:b/>
        </w:rPr>
        <w:t xml:space="preserve">Fire Department / competent authority: </w:t>
      </w:r>
      <w:r>
        <w:t>Certification or permit related to fire safety, evacuation routes, extinguishers, and protective measures.</w:t>
      </w:r>
    </w:p>
    <w:p>
      <w:pPr>
        <w:pStyle w:val="ListBullet"/>
      </w:pPr>
      <w:r>
        <w:rPr>
          <w:b/>
        </w:rPr>
        <w:t xml:space="preserve">CODIA and authorized technical professionals: </w:t>
      </w:r>
      <w:r>
        <w:t>Review of architectural plans, engineering, facility design, accessibility, safety, and structural conditions.</w:t>
      </w:r>
    </w:p>
    <w:p>
      <w:pPr>
        <w:pStyle w:val="Heading1"/>
      </w:pPr>
      <w:r>
        <w:rPr>
          <w:color w:val="002060"/>
        </w:rPr>
        <w:t>1. Initial Conditions Before Starting the Project</w:t>
      </w:r>
    </w:p>
    <w:p>
      <w:pPr>
        <w:pStyle w:val="ListBullet"/>
        <w:spacing w:after="80"/>
      </w:pPr>
      <w:r>
        <w:t>Have a responsible physician or medical director with a valid exequatur, applicable professional membership, and legal authorization to practice medicine in the Dominican Republic.</w:t>
      </w:r>
    </w:p>
    <w:p>
      <w:pPr>
        <w:pStyle w:val="ListBullet"/>
        <w:spacing w:after="80"/>
      </w:pPr>
      <w:r>
        <w:t>Define the type of services: general medicine, family medicine, primary care, prevention, chronic disease follow-up, minor procedures, laboratory, diagnostic imaging, or other services, as applicable.</w:t>
      </w:r>
    </w:p>
    <w:p>
      <w:pPr>
        <w:pStyle w:val="ListBullet"/>
        <w:spacing w:after="80"/>
      </w:pPr>
      <w:r>
        <w:t>Determine the clinic’s physical location and confirm that the property is compatible with land-use, accessibility, safety, and sanitary requirements.</w:t>
      </w:r>
    </w:p>
    <w:p>
      <w:pPr>
        <w:pStyle w:val="ListBullet"/>
        <w:spacing w:after="80"/>
      </w:pPr>
      <w:r>
        <w:t>Consult an attorney and accountant to choose the most appropriate legal structure, such as individual practice, EIRL, SRL, or another corporate form, depending on the scope of the project and its partners.</w:t>
      </w:r>
    </w:p>
    <w:p>
      <w:pPr>
        <w:pStyle w:val="ListBullet"/>
        <w:spacing w:after="80"/>
      </w:pPr>
      <w:r>
        <w:t>Prepare a technical file: plans, descriptive report, list of services, staff, equipment, patient flow, biosafety, waste management, safety measures, and administrative documentation.</w:t>
      </w:r>
    </w:p>
    <w:p>
      <w:pPr>
        <w:pStyle w:val="Heading1"/>
      </w:pPr>
      <w:r>
        <w:rPr>
          <w:color w:val="002060"/>
        </w:rPr>
        <w:t>2. Business Formation and Commercial Registration</w:t>
      </w:r>
    </w:p>
    <w:p>
      <w:pPr>
        <w:spacing w:after="120" w:line="259" w:lineRule="auto"/>
      </w:pPr>
      <w:r>
        <w:t>The clinic should have a clear legal and tax structure before operating. In practical terms, it is advisable to formalize the commercial activity before requesting the final sanitary authorization.</w:t>
      </w:r>
    </w:p>
    <w:p>
      <w:pPr>
        <w:pStyle w:val="ListBullet"/>
      </w:pPr>
      <w:r>
        <w:rPr>
          <w:b/>
        </w:rPr>
        <w:t xml:space="preserve">Trade name with ONAPI: </w:t>
      </w:r>
      <w:r>
        <w:t>Register the clinic’s trade name, sign, or emblem. ONAPI indicates that trade-name registration may be completed in person or electronically; its official portal publishes requirements, forms, and current fees.</w:t>
      </w:r>
    </w:p>
    <w:p>
      <w:pPr>
        <w:pStyle w:val="ListBullet"/>
      </w:pPr>
      <w:r>
        <w:rPr>
          <w:b/>
        </w:rPr>
        <w:t xml:space="preserve">Articles of incorporation and corporate documents: </w:t>
      </w:r>
      <w:r>
        <w:t>Prepare bylaws, articles of incorporation, shareholder/member list, and any other documents required according to the chosen legal structure. These documents often require notarization and registration.</w:t>
      </w:r>
    </w:p>
    <w:p>
      <w:pPr>
        <w:pStyle w:val="ListBullet"/>
      </w:pPr>
      <w:r>
        <w:rPr>
          <w:b/>
        </w:rPr>
        <w:t xml:space="preserve">Commercial Registry: </w:t>
      </w:r>
      <w:r>
        <w:t>Register the company with the Chamber of Commerce and Production of the jurisdiction where the clinic will operate. DGII describes this as part of the business formalization process; fees may vary depending on capital and type of company.</w:t>
      </w:r>
    </w:p>
    <w:p>
      <w:pPr>
        <w:pStyle w:val="ListBullet"/>
      </w:pPr>
      <w:r>
        <w:rPr>
          <w:b/>
        </w:rPr>
        <w:t xml:space="preserve">RNC with DGII: </w:t>
      </w:r>
      <w:r>
        <w:t>Request the National Taxpayer Registry and enable the corresponding tax obligations. DGII indicates that the process for companies includes completing the applicable form, submitting corporate documents, and registering the business activity.</w:t>
      </w:r>
    </w:p>
    <w:p>
      <w:pPr>
        <w:pStyle w:val="ListBullet"/>
      </w:pPr>
      <w:r>
        <w:rPr>
          <w:b/>
        </w:rPr>
        <w:t xml:space="preserve">Tax receipts and fiscal obligations: </w:t>
      </w:r>
      <w:r>
        <w:t>Request tax receipts, define the tax regime, keep formal accounting, and comply with ITBIS, income tax, withholdings, or other applicable obligations, depending on the case.</w:t>
      </w:r>
    </w:p>
    <w:p>
      <w:pPr>
        <w:pStyle w:val="Heading1"/>
      </w:pPr>
      <w:r>
        <w:rPr>
          <w:color w:val="002060"/>
        </w:rPr>
        <w:t>3. Sanitary Authorization Before MISPAS</w:t>
      </w:r>
    </w:p>
    <w:p>
      <w:pPr>
        <w:spacing w:after="120" w:line="259" w:lineRule="auto"/>
      </w:pPr>
      <w:r>
        <w:t>Sanitary authorization is the central step for a private primary care clinic to operate as a healthcare establishment. It must be processed before the Ministry of Public Health and Social Assistance, through the office or platform designated for health-service authorization.</w:t>
      </w:r>
    </w:p>
    <w:p>
      <w:pPr>
        <w:pStyle w:val="ListBullet"/>
        <w:spacing w:after="80"/>
      </w:pPr>
      <w:r>
        <w:t>Completed application form for sanitary authorization through the system or office indicated by MISPAS/SIHA.</w:t>
      </w:r>
    </w:p>
    <w:p>
      <w:pPr>
        <w:pStyle w:val="ListBullet"/>
        <w:spacing w:after="80"/>
      </w:pPr>
      <w:r>
        <w:t>Formal request letter addressed to the competent authority, indicating the establishment’s name, location, legal representative, medical director, and services to be offered.</w:t>
      </w:r>
    </w:p>
    <w:p>
      <w:pPr>
        <w:pStyle w:val="ListBullet"/>
        <w:spacing w:after="80"/>
      </w:pPr>
      <w:r>
        <w:t>RNC of the responsible entity or person, corporate documents, Commercial Registry, and trade name, as applicable.</w:t>
      </w:r>
    </w:p>
    <w:p>
      <w:pPr>
        <w:pStyle w:val="ListBullet"/>
        <w:spacing w:after="80"/>
      </w:pPr>
      <w:r>
        <w:t>Identification of the owner or legal representative.</w:t>
      </w:r>
    </w:p>
    <w:p>
      <w:pPr>
        <w:pStyle w:val="ListBullet"/>
        <w:spacing w:after="80"/>
      </w:pPr>
      <w:r>
        <w:t>Medical director documents: exequatur, professional membership, ID card/passport, contract, or appointment letter.</w:t>
      </w:r>
    </w:p>
    <w:p>
      <w:pPr>
        <w:pStyle w:val="ListBullet"/>
        <w:spacing w:after="80"/>
      </w:pPr>
      <w:r>
        <w:t>List of healthcare and administrative personnel with credentials, licenses, or certifications when applicable.</w:t>
      </w:r>
    </w:p>
    <w:p>
      <w:pPr>
        <w:pStyle w:val="ListBullet"/>
        <w:spacing w:after="80"/>
      </w:pPr>
      <w:r>
        <w:t>Architectural plans and physical layout of the facility, preferably reviewed by competent professionals and by the applicable technical office.</w:t>
      </w:r>
    </w:p>
    <w:p>
      <w:pPr>
        <w:pStyle w:val="ListBullet"/>
        <w:spacing w:after="80"/>
      </w:pPr>
      <w:r>
        <w:t>Descriptive report of the establishment: services, hours, patient flow, clinical areas, reception, medical records, bathrooms, procedure area, cleaning, sterilization, and biosafety.</w:t>
      </w:r>
    </w:p>
    <w:p>
      <w:pPr>
        <w:pStyle w:val="ListBullet"/>
        <w:spacing w:after="80"/>
      </w:pPr>
      <w:r>
        <w:t>Inventory of medical equipment, furniture, supplies, medications, refrigerators, autoclave, EKG equipment, emergency material, or other equipment depending on the services offered.</w:t>
      </w:r>
    </w:p>
    <w:p>
      <w:pPr>
        <w:pStyle w:val="ListBullet"/>
        <w:spacing w:after="80"/>
      </w:pPr>
      <w:r>
        <w:t>Protocols for biosafety, waste management, emergencies, infection control, cleaning, patient privacy, and occupational safety.</w:t>
      </w:r>
    </w:p>
    <w:p>
      <w:pPr>
        <w:pStyle w:val="ListBullet"/>
        <w:spacing w:after="80"/>
      </w:pPr>
      <w:r>
        <w:t>Proof of payment of official fees, if applicable, confirming account, amount, and payment concept directly with MISPAS before filing.</w:t>
      </w:r>
    </w:p>
    <w:p>
      <w:pPr>
        <w:pStyle w:val="Heading1"/>
      </w:pPr>
      <w:r>
        <w:rPr>
          <w:color w:val="002060"/>
        </w:rPr>
        <w:t>4. Municipal Permits, Safety, and Facility Preparation</w:t>
      </w:r>
    </w:p>
    <w:p>
      <w:pPr>
        <w:pStyle w:val="ListBullet"/>
        <w:spacing w:after="80"/>
      </w:pPr>
      <w:r>
        <w:t>Confirm land-use authorization and compatibility of the premises with private healthcare activity before the corresponding municipality.</w:t>
      </w:r>
    </w:p>
    <w:p>
      <w:pPr>
        <w:pStyle w:val="ListBullet"/>
        <w:spacing w:after="80"/>
      </w:pPr>
      <w:r>
        <w:t>Process exterior signage, construction, or remodeling permits when applicable.</w:t>
      </w:r>
    </w:p>
    <w:p>
      <w:pPr>
        <w:pStyle w:val="ListBullet"/>
        <w:spacing w:after="80"/>
      </w:pPr>
      <w:r>
        <w:t>Obtain evaluation or certification from the Fire Department or competent fire-safety authority.</w:t>
      </w:r>
    </w:p>
    <w:p>
      <w:pPr>
        <w:pStyle w:val="ListBullet"/>
        <w:spacing w:after="80"/>
      </w:pPr>
      <w:r>
        <w:t>Ensure accessibility, lighting, ventilation, adequate bathrooms, clinical privacy, secure medical-record storage, and separate areas according to the type of service.</w:t>
      </w:r>
    </w:p>
    <w:p>
      <w:pPr>
        <w:pStyle w:val="ListBullet"/>
        <w:spacing w:after="80"/>
      </w:pPr>
      <w:r>
        <w:t>Contract formal management of biomedical waste, sharps, and special waste when applicable.</w:t>
      </w:r>
    </w:p>
    <w:p>
      <w:pPr>
        <w:pStyle w:val="Heading1"/>
      </w:pPr>
      <w:r>
        <w:rPr>
          <w:color w:val="002060"/>
        </w:rPr>
        <w:t>5. Human Resources, Medical Direction, and Responsible Operation</w:t>
      </w:r>
    </w:p>
    <w:p>
      <w:pPr>
        <w:pStyle w:val="ListBullet"/>
        <w:spacing w:after="80"/>
      </w:pPr>
      <w:r>
        <w:t>Designate a responsible medical director with valid exequatur and authorization to practice medicine in the Dominican Republic.</w:t>
      </w:r>
    </w:p>
    <w:p>
      <w:pPr>
        <w:pStyle w:val="ListBullet"/>
        <w:spacing w:after="80"/>
      </w:pPr>
      <w:r>
        <w:t>Maintain personnel files: ID card or passport, curriculum vitae, licenses, certifications, contracts, and training records.</w:t>
      </w:r>
    </w:p>
    <w:p>
      <w:pPr>
        <w:pStyle w:val="ListBullet"/>
        <w:spacing w:after="80"/>
      </w:pPr>
      <w:r>
        <w:t>Personnel performing clinical procedures must be duly authorized or supervised according to applicable regulations.</w:t>
      </w:r>
    </w:p>
    <w:p>
      <w:pPr>
        <w:pStyle w:val="ListBullet"/>
        <w:spacing w:after="80"/>
      </w:pPr>
      <w:r>
        <w:t>Establish internal manuals: informed consent, confidentiality, medical-record handling, referrals, emergencies, complaints, biosafety, and quality assurance.</w:t>
      </w:r>
    </w:p>
    <w:p>
      <w:pPr>
        <w:pStyle w:val="ListBullet"/>
        <w:spacing w:after="80"/>
      </w:pPr>
      <w:r>
        <w:t>Do not begin clinical services until the required authorization and permits are completed.</w:t>
      </w:r>
    </w:p>
    <w:p>
      <w:pPr>
        <w:pStyle w:val="Heading1"/>
      </w:pPr>
      <w:r>
        <w:rPr>
          <w:color w:val="002060"/>
        </w:rPr>
        <w:t>Estimated Initial Costs</w:t>
      </w:r>
    </w:p>
    <w:p>
      <w:pPr>
        <w:spacing w:after="120" w:line="259" w:lineRule="auto"/>
      </w:pPr>
      <w:r>
        <w:t>The following costs are approximate and must be confirmed directly with the official institutions before starting the process:</w:t>
      </w:r>
    </w:p>
    <w:tbl>
      <w:tblPr>
        <w:tblStyle w:val="TableGrid"/>
        <w:tblW w:type="auto" w:w="0"/>
        <w:jc w:val="center"/>
        <w:tblLook w:firstColumn="1" w:firstRow="1" w:lastColumn="0" w:lastRow="0" w:noHBand="0" w:noVBand="1" w:val="04A0"/>
        <w:tblBorders>
          <w:top w:val="single" w:sz="8" w:space="0" w:color="D9E2F3"/>
          <w:left w:val="single" w:sz="8" w:space="0" w:color="D9E2F3"/>
          <w:bottom w:val="single" w:sz="8" w:space="0" w:color="D9E2F3"/>
          <w:right w:val="single" w:sz="8" w:space="0" w:color="D9E2F3"/>
          <w:insideH w:val="single" w:sz="8" w:space="0" w:color="D9E2F3"/>
          <w:insideV w:val="single" w:sz="8" w:space="0" w:color="D9E2F3"/>
        </w:tblBorders>
      </w:tblPr>
      <w:tblGrid>
        <w:gridCol w:w="3408"/>
        <w:gridCol w:w="3408"/>
        <w:gridCol w:w="3408"/>
      </w:tblGrid>
      <w:tr>
        <w:tc>
          <w:tcPr>
            <w:tcW w:type="dxa" w:w="3408"/>
            <w:shd w:fill="002060"/>
            <w:vAlign w:val="center"/>
          </w:tcPr>
          <w:p>
            <w:r/>
            <w:r>
              <w:rPr>
                <w:b/>
                <w:color w:val="FFFFFF"/>
                <w:sz w:val="19"/>
              </w:rPr>
              <w:t>Procedure</w:t>
            </w:r>
          </w:p>
        </w:tc>
        <w:tc>
          <w:tcPr>
            <w:tcW w:type="dxa" w:w="3408"/>
            <w:shd w:fill="002060"/>
            <w:vAlign w:val="center"/>
          </w:tcPr>
          <w:p>
            <w:r/>
            <w:r>
              <w:rPr>
                <w:b/>
                <w:color w:val="FFFFFF"/>
                <w:sz w:val="19"/>
              </w:rPr>
              <w:t>Institution</w:t>
            </w:r>
          </w:p>
        </w:tc>
        <w:tc>
          <w:tcPr>
            <w:tcW w:type="dxa" w:w="3408"/>
            <w:shd w:fill="002060"/>
            <w:vAlign w:val="center"/>
          </w:tcPr>
          <w:p>
            <w:r/>
            <w:r>
              <w:rPr>
                <w:b/>
                <w:color w:val="FFFFFF"/>
                <w:sz w:val="19"/>
              </w:rPr>
              <w:t>Approximate cost / note</w:t>
            </w:r>
          </w:p>
        </w:tc>
      </w:tr>
      <w:tr>
        <w:tc>
          <w:tcPr>
            <w:tcW w:type="dxa" w:w="3408"/>
            <w:vAlign w:val="center"/>
          </w:tcPr>
          <w:p>
            <w:r/>
            <w:r>
              <w:rPr>
                <w:b w:val="0"/>
                <w:sz w:val="17"/>
              </w:rPr>
              <w:t>Trade name</w:t>
            </w:r>
          </w:p>
        </w:tc>
        <w:tc>
          <w:tcPr>
            <w:tcW w:type="dxa" w:w="3408"/>
            <w:vAlign w:val="center"/>
          </w:tcPr>
          <w:p>
            <w:r/>
            <w:r>
              <w:rPr>
                <w:b w:val="0"/>
                <w:sz w:val="17"/>
              </w:rPr>
              <w:t>ONAPI</w:t>
            </w:r>
          </w:p>
        </w:tc>
        <w:tc>
          <w:tcPr>
            <w:tcW w:type="dxa" w:w="3408"/>
            <w:vAlign w:val="center"/>
          </w:tcPr>
          <w:p>
            <w:r/>
            <w:r>
              <w:rPr>
                <w:b w:val="0"/>
                <w:sz w:val="17"/>
              </w:rPr>
              <w:t>Approximately RD$4,755 according to ONAPI’s official page; DGII’s formalization guide reports RD$4,775. Confirm the current fee.</w:t>
            </w:r>
          </w:p>
        </w:tc>
      </w:tr>
      <w:tr>
        <w:tc>
          <w:tcPr>
            <w:tcW w:type="dxa" w:w="3408"/>
            <w:vAlign w:val="center"/>
          </w:tcPr>
          <w:p>
            <w:r/>
            <w:r>
              <w:rPr>
                <w:b w:val="0"/>
                <w:sz w:val="17"/>
              </w:rPr>
              <w:t>Commercial Registry</w:t>
            </w:r>
          </w:p>
        </w:tc>
        <w:tc>
          <w:tcPr>
            <w:tcW w:type="dxa" w:w="3408"/>
            <w:vAlign w:val="center"/>
          </w:tcPr>
          <w:p>
            <w:r/>
            <w:r>
              <w:rPr>
                <w:b w:val="0"/>
                <w:sz w:val="17"/>
              </w:rPr>
              <w:t>Chamber of Commerce</w:t>
            </w:r>
          </w:p>
        </w:tc>
        <w:tc>
          <w:tcPr>
            <w:tcW w:type="dxa" w:w="3408"/>
            <w:vAlign w:val="center"/>
          </w:tcPr>
          <w:p>
            <w:r/>
            <w:r>
              <w:rPr>
                <w:b w:val="0"/>
                <w:sz w:val="17"/>
              </w:rPr>
              <w:t>Variable depending on authorized capital and current fee schedule.</w:t>
            </w:r>
          </w:p>
        </w:tc>
      </w:tr>
      <w:tr>
        <w:tc>
          <w:tcPr>
            <w:tcW w:type="dxa" w:w="3408"/>
            <w:vAlign w:val="center"/>
          </w:tcPr>
          <w:p>
            <w:r/>
            <w:r>
              <w:rPr>
                <w:b w:val="0"/>
                <w:sz w:val="17"/>
              </w:rPr>
              <w:t>Company formation</w:t>
            </w:r>
          </w:p>
        </w:tc>
        <w:tc>
          <w:tcPr>
            <w:tcW w:type="dxa" w:w="3408"/>
            <w:vAlign w:val="center"/>
          </w:tcPr>
          <w:p>
            <w:r/>
            <w:r>
              <w:rPr>
                <w:b w:val="0"/>
                <w:sz w:val="17"/>
              </w:rPr>
              <w:t>DGII / Chamber of Commerce</w:t>
            </w:r>
          </w:p>
        </w:tc>
        <w:tc>
          <w:tcPr>
            <w:tcW w:type="dxa" w:w="3408"/>
            <w:vAlign w:val="center"/>
          </w:tcPr>
          <w:p>
            <w:r/>
            <w:r>
              <w:rPr>
                <w:b w:val="0"/>
                <w:sz w:val="17"/>
              </w:rPr>
              <w:t>DGII indicates a tax equivalent to 1% of authorized capital for company formation, according to the applicable process.</w:t>
            </w:r>
          </w:p>
        </w:tc>
      </w:tr>
      <w:tr>
        <w:tc>
          <w:tcPr>
            <w:tcW w:type="dxa" w:w="3408"/>
            <w:vAlign w:val="center"/>
          </w:tcPr>
          <w:p>
            <w:r/>
            <w:r>
              <w:rPr>
                <w:b w:val="0"/>
                <w:sz w:val="17"/>
              </w:rPr>
              <w:t>RNC</w:t>
            </w:r>
          </w:p>
        </w:tc>
        <w:tc>
          <w:tcPr>
            <w:tcW w:type="dxa" w:w="3408"/>
            <w:vAlign w:val="center"/>
          </w:tcPr>
          <w:p>
            <w:r/>
            <w:r>
              <w:rPr>
                <w:b w:val="0"/>
                <w:sz w:val="17"/>
              </w:rPr>
              <w:t>DGII</w:t>
            </w:r>
          </w:p>
        </w:tc>
        <w:tc>
          <w:tcPr>
            <w:tcW w:type="dxa" w:w="3408"/>
            <w:vAlign w:val="center"/>
          </w:tcPr>
          <w:p>
            <w:r/>
            <w:r>
              <w:rPr>
                <w:b w:val="0"/>
                <w:sz w:val="17"/>
              </w:rPr>
              <w:t>Generally no direct fee for registration; confirm depending on the case.</w:t>
            </w:r>
          </w:p>
        </w:tc>
      </w:tr>
      <w:tr>
        <w:tc>
          <w:tcPr>
            <w:tcW w:type="dxa" w:w="3408"/>
            <w:vAlign w:val="center"/>
          </w:tcPr>
          <w:p>
            <w:r/>
            <w:r>
              <w:rPr>
                <w:b w:val="0"/>
                <w:sz w:val="17"/>
              </w:rPr>
              <w:t>Sanitary authorization</w:t>
            </w:r>
          </w:p>
        </w:tc>
        <w:tc>
          <w:tcPr>
            <w:tcW w:type="dxa" w:w="3408"/>
            <w:vAlign w:val="center"/>
          </w:tcPr>
          <w:p>
            <w:r/>
            <w:r>
              <w:rPr>
                <w:b w:val="0"/>
                <w:sz w:val="17"/>
              </w:rPr>
              <w:t>MISPAS</w:t>
            </w:r>
          </w:p>
        </w:tc>
        <w:tc>
          <w:tcPr>
            <w:tcW w:type="dxa" w:w="3408"/>
            <w:vAlign w:val="center"/>
          </w:tcPr>
          <w:p>
            <w:r/>
            <w:r>
              <w:rPr>
                <w:b w:val="0"/>
                <w:sz w:val="17"/>
              </w:rPr>
              <w:t>Variable depending on the type of establishment and current official fee. Confirm directly with MISPAS/SIHA before paying.</w:t>
            </w:r>
          </w:p>
        </w:tc>
      </w:tr>
      <w:tr>
        <w:tc>
          <w:tcPr>
            <w:tcW w:type="dxa" w:w="3408"/>
            <w:vAlign w:val="center"/>
          </w:tcPr>
          <w:p>
            <w:r/>
            <w:r>
              <w:rPr>
                <w:b w:val="0"/>
                <w:sz w:val="17"/>
              </w:rPr>
              <w:t>Municipal and fire permits</w:t>
            </w:r>
          </w:p>
        </w:tc>
        <w:tc>
          <w:tcPr>
            <w:tcW w:type="dxa" w:w="3408"/>
            <w:vAlign w:val="center"/>
          </w:tcPr>
          <w:p>
            <w:r/>
            <w:r>
              <w:rPr>
                <w:b w:val="0"/>
                <w:sz w:val="17"/>
              </w:rPr>
              <w:t>Municipality / Fire Department</w:t>
            </w:r>
          </w:p>
        </w:tc>
        <w:tc>
          <w:tcPr>
            <w:tcW w:type="dxa" w:w="3408"/>
            <w:vAlign w:val="center"/>
          </w:tcPr>
          <w:p>
            <w:r/>
            <w:r>
              <w:rPr>
                <w:b w:val="0"/>
                <w:sz w:val="17"/>
              </w:rPr>
              <w:t>Variable depending on municipality, square footage, activity, signage, and facility conditions.</w:t>
            </w:r>
          </w:p>
        </w:tc>
      </w:tr>
      <w:tr>
        <w:tc>
          <w:tcPr>
            <w:tcW w:type="dxa" w:w="3408"/>
            <w:vAlign w:val="center"/>
          </w:tcPr>
          <w:p>
            <w:r/>
            <w:r>
              <w:rPr>
                <w:b w:val="0"/>
                <w:sz w:val="17"/>
              </w:rPr>
              <w:t>Legal, accounting, and technical advice</w:t>
            </w:r>
          </w:p>
        </w:tc>
        <w:tc>
          <w:tcPr>
            <w:tcW w:type="dxa" w:w="3408"/>
            <w:vAlign w:val="center"/>
          </w:tcPr>
          <w:p>
            <w:r/>
            <w:r>
              <w:rPr>
                <w:b w:val="0"/>
                <w:sz w:val="17"/>
              </w:rPr>
              <w:t>Private providers</w:t>
            </w:r>
          </w:p>
        </w:tc>
        <w:tc>
          <w:tcPr>
            <w:tcW w:type="dxa" w:w="3408"/>
            <w:vAlign w:val="center"/>
          </w:tcPr>
          <w:p>
            <w:r/>
            <w:r>
              <w:rPr>
                <w:b w:val="0"/>
                <w:sz w:val="17"/>
              </w:rPr>
              <w:t>Variable. It is advisable to budget for professional fees.</w:t>
            </w:r>
          </w:p>
        </w:tc>
      </w:tr>
    </w:tbl>
    <w:p>
      <w:pPr>
        <w:pStyle w:val="Heading1"/>
      </w:pPr>
      <w:r>
        <w:rPr>
          <w:color w:val="002060"/>
        </w:rPr>
        <w:t>Recommended Documents for the Application File</w:t>
      </w:r>
    </w:p>
    <w:p>
      <w:pPr>
        <w:pStyle w:val="ListBullet"/>
        <w:spacing w:after="80"/>
      </w:pPr>
      <w:r>
        <w:t>☐ Identification of the owner, partners, or legal representative.</w:t>
      </w:r>
    </w:p>
    <w:p>
      <w:pPr>
        <w:pStyle w:val="ListBullet"/>
        <w:spacing w:after="80"/>
      </w:pPr>
      <w:r>
        <w:t>☐ Trade name approved by ONAPI.</w:t>
      </w:r>
    </w:p>
    <w:p>
      <w:pPr>
        <w:pStyle w:val="ListBullet"/>
        <w:spacing w:after="80"/>
      </w:pPr>
      <w:r>
        <w:t>☐ Bylaws, articles of incorporation, and Commercial Registry.</w:t>
      </w:r>
    </w:p>
    <w:p>
      <w:pPr>
        <w:pStyle w:val="ListBullet"/>
        <w:spacing w:after="80"/>
      </w:pPr>
      <w:r>
        <w:t>☐ RNC and DGII confirmation.</w:t>
      </w:r>
    </w:p>
    <w:p>
      <w:pPr>
        <w:pStyle w:val="ListBullet"/>
        <w:spacing w:after="80"/>
      </w:pPr>
      <w:r>
        <w:t>☐ Lease agreement or title/authorization to use the premises.</w:t>
      </w:r>
    </w:p>
    <w:p>
      <w:pPr>
        <w:pStyle w:val="ListBullet"/>
        <w:spacing w:after="80"/>
      </w:pPr>
      <w:r>
        <w:t>☐ Land-use authorization or municipal permit, if applicable.</w:t>
      </w:r>
    </w:p>
    <w:p>
      <w:pPr>
        <w:pStyle w:val="ListBullet"/>
        <w:spacing w:after="80"/>
      </w:pPr>
      <w:r>
        <w:t>☐ Plans and physical layout of the establishment.</w:t>
      </w:r>
    </w:p>
    <w:p>
      <w:pPr>
        <w:pStyle w:val="ListBullet"/>
        <w:spacing w:after="80"/>
      </w:pPr>
      <w:r>
        <w:t>☐ Descriptive report of services.</w:t>
      </w:r>
    </w:p>
    <w:p>
      <w:pPr>
        <w:pStyle w:val="ListBullet"/>
        <w:spacing w:after="80"/>
      </w:pPr>
      <w:r>
        <w:t>☐ List of personnel with credentials.</w:t>
      </w:r>
    </w:p>
    <w:p>
      <w:pPr>
        <w:pStyle w:val="ListBullet"/>
        <w:spacing w:after="80"/>
      </w:pPr>
      <w:r>
        <w:t>☐ Medical director documents: exequatur, professional membership, and formal appointment.</w:t>
      </w:r>
    </w:p>
    <w:p>
      <w:pPr>
        <w:pStyle w:val="ListBullet"/>
        <w:spacing w:after="80"/>
      </w:pPr>
      <w:r>
        <w:t>☐ Inventory of equipment and supplies.</w:t>
      </w:r>
    </w:p>
    <w:p>
      <w:pPr>
        <w:pStyle w:val="ListBullet"/>
        <w:spacing w:after="80"/>
      </w:pPr>
      <w:r>
        <w:t>☐ Biosafety, emergency, cleaning, waste-management, and confidentiality protocols.</w:t>
      </w:r>
    </w:p>
    <w:p>
      <w:pPr>
        <w:pStyle w:val="ListBullet"/>
        <w:spacing w:after="80"/>
      </w:pPr>
      <w:r>
        <w:t>☐ Proof of payment of official fees, when applicable.</w:t>
      </w:r>
    </w:p>
    <w:p>
      <w:pPr>
        <w:pStyle w:val="ListBullet"/>
        <w:spacing w:after="80"/>
      </w:pPr>
      <w:r>
        <w:t>☐ Safety certifications, fire-department approvals, or technical permits required by the authority.</w:t>
      </w:r>
    </w:p>
    <w:p>
      <w:pPr>
        <w:pStyle w:val="Heading1"/>
      </w:pPr>
      <w:r>
        <w:rPr>
          <w:color w:val="002060"/>
        </w:rPr>
        <w:t>Legal and Ethical Recommendations</w:t>
      </w:r>
    </w:p>
    <w:p>
      <w:pPr>
        <w:pStyle w:val="ListBullet"/>
        <w:spacing w:after="80"/>
      </w:pPr>
      <w:r>
        <w:t>Do not operate without sanitary authorization, and do not advertise services that have not yet been authorized.</w:t>
      </w:r>
    </w:p>
    <w:p>
      <w:pPr>
        <w:pStyle w:val="ListBullet"/>
        <w:spacing w:after="80"/>
      </w:pPr>
      <w:r>
        <w:t>Do not delegate medical acts to unauthorized personnel.</w:t>
      </w:r>
    </w:p>
    <w:p>
      <w:pPr>
        <w:pStyle w:val="ListBullet"/>
        <w:spacing w:after="80"/>
      </w:pPr>
      <w:r>
        <w:t>Avoid misleading advertising, promises of cure, or the use of titles that are not legally recognized.</w:t>
      </w:r>
    </w:p>
    <w:p>
      <w:pPr>
        <w:pStyle w:val="ListBullet"/>
        <w:spacing w:after="80"/>
      </w:pPr>
      <w:r>
        <w:t>Maintain protected clinical records and clear confidentiality policies.</w:t>
      </w:r>
    </w:p>
    <w:p>
      <w:pPr>
        <w:pStyle w:val="ListBullet"/>
        <w:spacing w:after="80"/>
      </w:pPr>
      <w:r>
        <w:t>Keep insurance, contracts, tax records, and permits updated.</w:t>
      </w:r>
    </w:p>
    <w:p>
      <w:pPr>
        <w:pStyle w:val="ListBullet"/>
        <w:spacing w:after="80"/>
      </w:pPr>
      <w:r>
        <w:t>Renew the sanitary authorization and permits within the deadlines established by the authorities.</w:t>
      </w:r>
    </w:p>
    <w:p>
      <w:pPr>
        <w:pStyle w:val="Heading1"/>
      </w:pPr>
      <w:r>
        <w:rPr>
          <w:color w:val="002060"/>
        </w:rPr>
        <w:t>Priority Route 1-2-3</w:t>
      </w:r>
    </w:p>
    <w:p>
      <w:pPr>
        <w:pStyle w:val="ListNumber"/>
      </w:pPr>
      <w:r>
        <w:rPr>
          <w:b/>
        </w:rPr>
        <w:t>1. Legalize the business foundation</w:t>
        <w:br/>
      </w:r>
      <w:r>
        <w:t>Register the trade name, create the legal entity, obtain the Commercial Registry and RNC, and formally define the legal representative.</w:t>
      </w:r>
    </w:p>
    <w:p>
      <w:pPr>
        <w:pStyle w:val="ListNumber"/>
      </w:pPr>
      <w:r>
        <w:rPr>
          <w:b/>
        </w:rPr>
        <w:t>2. Prepare the healthcare authorization file</w:t>
        <w:br/>
      </w:r>
      <w:r>
        <w:t>Select the location, confirm land-use compatibility, designate a medical director with exequatur, prepare plans, a descriptive report, service list, staff file, equipment list, and biosafety protocols.</w:t>
      </w:r>
    </w:p>
    <w:p>
      <w:pPr>
        <w:pStyle w:val="ListNumber"/>
      </w:pPr>
      <w:r>
        <w:rPr>
          <w:b/>
        </w:rPr>
        <w:t>3. Request authorization and do not operate until approved</w:t>
        <w:br/>
      </w:r>
      <w:r>
        <w:t>File the application before MISPAS/SIHA, respond to inspections, correct observations, and wait for approval before beginning clinical services.</w:t>
      </w:r>
    </w:p>
    <w:p>
      <w:pPr>
        <w:pStyle w:val="Heading1"/>
      </w:pPr>
      <w:r>
        <w:rPr>
          <w:color w:val="002060"/>
        </w:rPr>
        <w:t>Official Sources for Consultation</w:t>
      </w:r>
    </w:p>
    <w:p>
      <w:pPr>
        <w:pStyle w:val="ListBullet"/>
        <w:spacing w:after="80"/>
      </w:pPr>
      <w:r>
        <w:t>MISPAS/MSP: www.msp.gob.do | Phone: 809-541-3121.</w:t>
      </w:r>
    </w:p>
    <w:p>
      <w:pPr>
        <w:pStyle w:val="ListBullet"/>
        <w:spacing w:after="80"/>
      </w:pPr>
      <w:r>
        <w:t>MESCyT, exequatur application: mescyt.gob.do/servicios/solicitud-de-exequatur/</w:t>
      </w:r>
    </w:p>
    <w:p>
      <w:pPr>
        <w:pStyle w:val="ListBullet"/>
        <w:spacing w:after="80"/>
      </w:pPr>
      <w:r>
        <w:t>ONAPI, trade-name registration: www.onapi.gov.do.</w:t>
      </w:r>
    </w:p>
    <w:p>
      <w:pPr>
        <w:pStyle w:val="ListBullet"/>
        <w:spacing w:after="80"/>
      </w:pPr>
      <w:r>
        <w:t>DGII, guide “How to Formalize Your Business”: dgii.gov.do.</w:t>
      </w:r>
    </w:p>
    <w:p>
      <w:pPr>
        <w:pStyle w:val="ListBullet"/>
        <w:spacing w:after="80"/>
      </w:pPr>
      <w:r>
        <w:t>Dominican Medical Association, professional membership: cmd.org.do/colegiatura/.</w:t>
      </w:r>
    </w:p>
    <w:p>
      <w:pPr>
        <w:pStyle w:val="ListBullet"/>
        <w:spacing w:after="80"/>
      </w:pPr>
      <w:r>
        <w:t>Formalizate RD: www.formalizate.gob.do.</w:t>
      </w:r>
    </w:p>
    <w:p>
      <w:pPr>
        <w:pStyle w:val="Heading1"/>
      </w:pPr>
      <w:r>
        <w:rPr>
          <w:color w:val="002060"/>
        </w:rPr>
        <w:t>Final Message from AHPSI</w:t>
      </w:r>
    </w:p>
    <w:p>
      <w:pPr>
        <w:spacing w:after="120" w:line="259" w:lineRule="auto"/>
      </w:pPr>
      <w:r>
        <w:t>Opening a private primary care clinic is a project of high social value, but also one of significant legal, sanitary, and ethical responsibility. AHPSI recognizes physicians and healthcare professionals who seek to serve with excellence, respect Dominican regulations, and contribute to improving access to safe, humane, and quality healthcare services.</w:t>
      </w:r>
    </w:p>
    <w:p>
      <w:pPr>
        <w:spacing w:after="120" w:line="259" w:lineRule="auto"/>
      </w:pPr>
      <w:r>
        <w:t>For additional general orientation: Hispanic Health Professionals Association, Inc. NY (AHPSI) | 732-277-9640 | info@ahpsi.org</w:t>
      </w:r>
    </w:p>
    <w:sectPr w:rsidR="00FC693F" w:rsidRPr="0006063C" w:rsidSect="00034616">
      <w:headerReference w:type="default" r:id="rId9"/>
      <w:footerReference w:type="default" r:id="rId10"/>
      <w:pgSz w:w="12240" w:h="15840"/>
      <w:pgMar w:top="936"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002060"/>
        <w:sz w:val="18"/>
      </w:rPr>
      <w:t>AHPSI | 732-277-9640 | info@ahpsi.org</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drawing>
        <wp:inline xmlns:a="http://schemas.openxmlformats.org/drawingml/2006/main" xmlns:pic="http://schemas.openxmlformats.org/drawingml/2006/picture">
          <wp:extent cx="777240" cy="738378"/>
          <wp:docPr id="1" name="Picture 1"/>
          <wp:cNvGraphicFramePr>
            <a:graphicFrameLocks noChangeAspect="1"/>
          </wp:cNvGraphicFramePr>
          <a:graphic>
            <a:graphicData uri="http://schemas.openxmlformats.org/drawingml/2006/picture">
              <pic:pic>
                <pic:nvPicPr>
                  <pic:cNvPr id="0" name="ahpsi_logo_web_120px(113).png"/>
                  <pic:cNvPicPr/>
                </pic:nvPicPr>
                <pic:blipFill>
                  <a:blip r:embed="rId1"/>
                  <a:stretch>
                    <a:fillRect/>
                  </a:stretch>
                </pic:blipFill>
                <pic:spPr>
                  <a:xfrm>
                    <a:off x="0" y="0"/>
                    <a:ext cx="777240" cy="738378"/>
                  </a:xfrm>
                  <a:prstGeom prst="rect"/>
                </pic:spPr>
              </pic:pic>
            </a:graphicData>
          </a:graphic>
        </wp:inline>
      </w:drawing>
    </w:r>
    <w:r>
      <w:rPr>
        <w:b/>
      </w:rPr>
      <w:br/>
      <w:t>Hispanic Health Professionals Association, Inc. NY (AHPSI)</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2060"/>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2060"/>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206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