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REPORTE FINAL DE SERVICIOS DE SALUD</w:t>
      </w:r>
    </w:p>
    <w:p>
      <w:pPr>
        <w:jc w:val="center"/>
      </w:pPr>
      <w:r>
        <w:rPr>
          <w:b/>
          <w:color w:val="2F5597"/>
          <w:sz w:val="26"/>
        </w:rPr>
        <w:t>17.ª Feria Anual de la Salud — Boston 2026</w:t>
      </w:r>
    </w:p>
    <w:p>
      <w:pPr>
        <w:jc w:val="center"/>
      </w:pPr>
      <w:r>
        <w:rPr>
          <w:sz w:val="21"/>
        </w:rPr>
        <w:t>Sábado 8 de agosto de 2026 | 11:00 a. m. – 3:00 p. m.</w:t>
        <w:br/>
        <w:t>1 Franklin Park Rd, Boston, MA 02121</w:t>
      </w:r>
    </w:p>
    <w:tbl>
      <w:tblPr>
        <w:tblW w:type="auto" w:w="0"/>
        <w:jc w:val="center"/>
        <w:tblLayout w:type="fixed"/>
        <w:tblLook w:firstColumn="1" w:firstRow="1" w:lastColumn="0" w:lastRow="0" w:noHBand="0" w:noVBand="1" w:val="04A0"/>
      </w:tblPr>
      <w:tblGrid>
        <w:gridCol w:w="10166"/>
      </w:tblGrid>
      <w:tr>
        <w:tc>
          <w:tcPr>
            <w:tcW w:type="dxa" w:w="9792"/>
            <w:vAlign w:val="center"/>
            <w:shd w:fill="EAF2F8"/>
            <w:tcBorders>
              <w:top w:val="single" w:sz="8" w:color="5B9BD5"/>
              <w:left w:val="single" w:sz="8" w:color="5B9BD5"/>
              <w:bottom w:val="single" w:sz="8" w:color="5B9BD5"/>
              <w:right w:val="single" w:sz="8" w:color="5B9BD5"/>
            </w:tcBorders>
          </w:tcPr>
          <w:p>
            <w:pPr>
              <w:jc w:val="center"/>
            </w:pPr>
            <w:r>
              <w:rPr>
                <w:b/>
                <w:color w:val="17365D"/>
                <w:sz w:val="21"/>
              </w:rPr>
              <w:t>Resumen operativo: 42 registros de evaluación consignados en las hojas clínicas manuales adjuntas.</w:t>
            </w:r>
          </w:p>
        </w:tc>
      </w:tr>
    </w:tbl>
    <w:p/>
    <w:p>
      <w:pPr>
        <w:pStyle w:val="Heading1"/>
      </w:pPr>
      <w:r>
        <w:t>1. Introducción</w:t>
      </w:r>
    </w:p>
    <w:p>
      <w:r>
        <w:t>La Asociación Hispana de Profesionales de la Salud, Inc. (AHPSI) presenta este reporte final como constancia de una parte de los servicios preventivos ofrecidos durante la 17.ª Feria Anual de la Salud de Boston. La jornada tuvo como propósito acercar servicios básicos de detección, orientación y educación en salud a la comunidad, favoreciendo la identificación temprana de factores de riesgo y promoviendo decisiones saludables.</w:t>
      </w:r>
    </w:p>
    <w:p>
      <w:pPr>
        <w:pStyle w:val="Heading1"/>
      </w:pPr>
      <w:r>
        <w:t>2. Servicios ofrecidos</w:t>
      </w:r>
    </w:p>
    <w:p>
      <w:pPr>
        <w:ind w:left="259" w:hanging="259"/>
      </w:pPr>
      <w:r>
        <w:rPr>
          <w:b/>
        </w:rPr>
        <w:t xml:space="preserve">• Toma de presión arterial: </w:t>
      </w:r>
      <w:r>
        <w:t>Medición de presión arterial como parte del tamizaje cardiovascular básico.</w:t>
      </w:r>
    </w:p>
    <w:p>
      <w:pPr>
        <w:ind w:left="259" w:hanging="259"/>
      </w:pPr>
      <w:r>
        <w:rPr>
          <w:b/>
        </w:rPr>
        <w:t xml:space="preserve">• Medición de glucosa capilar: </w:t>
      </w:r>
      <w:r>
        <w:t>Determinación de glucemia mediante prueba capilar y orientación según los resultados obtenidos.</w:t>
      </w:r>
    </w:p>
    <w:p>
      <w:pPr>
        <w:ind w:left="259" w:hanging="259"/>
      </w:pPr>
      <w:r>
        <w:rPr>
          <w:b/>
        </w:rPr>
        <w:t xml:space="preserve">• Toma de peso corporal: </w:t>
      </w:r>
      <w:r>
        <w:t>Registro del peso corporal de los participantes evaluados como apoyo a la valoración general de salud.</w:t>
      </w:r>
    </w:p>
    <w:p>
      <w:pPr>
        <w:ind w:left="259" w:hanging="259"/>
      </w:pPr>
      <w:r>
        <w:rPr>
          <w:b/>
        </w:rPr>
        <w:t xml:space="preserve">• Consejería sobre hábitos saludables: </w:t>
      </w:r>
      <w:r>
        <w:t>Orientación individual sobre alimentación, actividad física, hidratación, control del peso y seguimiento preventivo.</w:t>
      </w:r>
    </w:p>
    <w:p>
      <w:pPr>
        <w:ind w:left="259" w:hanging="259"/>
      </w:pPr>
      <w:r>
        <w:rPr>
          <w:b/>
        </w:rPr>
        <w:t xml:space="preserve">• Educación preventiva: </w:t>
      </w:r>
      <w:r>
        <w:t>Explicación sencilla del significado de resultados de presión arterial y glucosa, destacando la importancia de los controles periódicos.</w:t>
      </w:r>
    </w:p>
    <w:p>
      <w:pPr>
        <w:ind w:left="259" w:hanging="259"/>
      </w:pPr>
      <w:r>
        <w:rPr>
          <w:b/>
        </w:rPr>
        <w:t xml:space="preserve">• Orientación y referimiento: </w:t>
      </w:r>
      <w:r>
        <w:t>Consejería para algunos participantes cuyos hallazgos ameritaban seguimiento con atención primaria u otros servicios de salud.</w:t>
      </w:r>
    </w:p>
    <w:p>
      <w:pPr>
        <w:pStyle w:val="Heading1"/>
      </w:pPr>
      <w:r>
        <w:t>3. Resumen de la actividad clínica</w:t>
      </w:r>
    </w:p>
    <w:p>
      <w:r>
        <w:t>Las hojas de trabajo entregadas documentan 42 registros numerados de evaluación. En ellas se consignaron, según correspondía, mediciones de presión arterial, glucemia capilar y otros datos de apoyo. Durante el proceso, el equipo ofreció explicación de los resultados, recomendaciones de autocuidado y orientación para seguimiento cuando se identificaron valores que requerían mayor atención. Este reporte presenta información agregada y no reproduce nombres ni resultados clínicos individuales, protegiendo la privacidad de los participantes.</w:t>
      </w:r>
    </w:p>
    <w:p>
      <w:pPr>
        <w:pStyle w:val="Heading2"/>
      </w:pPr>
      <w:r>
        <w:t>Resumen cuantitativo disponible</w:t>
      </w:r>
    </w:p>
    <w:tbl>
      <w:tblPr>
        <w:tblStyle w:val="TableGrid"/>
        <w:tblW w:type="auto" w:w="0"/>
        <w:jc w:val="center"/>
        <w:tblLook w:firstColumn="1" w:firstRow="1" w:lastColumn="0" w:lastRow="0" w:noHBand="0" w:noVBand="1" w:val="04A0"/>
      </w:tblPr>
      <w:tblGrid>
        <w:gridCol w:w="5083"/>
        <w:gridCol w:w="5083"/>
      </w:tblGrid>
      <w:tr>
        <w:tc>
          <w:tcPr>
            <w:tcW w:type="dxa" w:w="5083"/>
            <w:shd w:fill="D9EAF7"/>
          </w:tcPr>
          <w:p>
            <w:r>
              <w:rPr>
                <w:b/>
              </w:rPr>
              <w:t>Indicador</w:t>
            </w:r>
          </w:p>
        </w:tc>
        <w:tc>
          <w:tcPr>
            <w:tcW w:type="dxa" w:w="5083"/>
            <w:shd w:fill="D9EAF7"/>
          </w:tcPr>
          <w:p>
            <w:r>
              <w:rPr>
                <w:b/>
              </w:rPr>
              <w:t>Resultado</w:t>
            </w:r>
          </w:p>
        </w:tc>
      </w:tr>
      <w:tr>
        <w:tc>
          <w:tcPr>
            <w:tcW w:type="dxa" w:w="5083"/>
          </w:tcPr>
          <w:p>
            <w:r>
              <w:t>Registros numerados en las hojas clínicas adjuntas</w:t>
            </w:r>
          </w:p>
        </w:tc>
        <w:tc>
          <w:tcPr>
            <w:tcW w:type="dxa" w:w="5083"/>
          </w:tcPr>
          <w:p>
            <w:r>
              <w:t>42</w:t>
            </w:r>
          </w:p>
        </w:tc>
      </w:tr>
      <w:tr>
        <w:tc>
          <w:tcPr>
            <w:tcW w:type="dxa" w:w="5083"/>
          </w:tcPr>
          <w:p>
            <w:r>
              <w:t>Presión arterial</w:t>
            </w:r>
          </w:p>
        </w:tc>
        <w:tc>
          <w:tcPr>
            <w:tcW w:type="dxa" w:w="5083"/>
          </w:tcPr>
          <w:p>
            <w:r>
              <w:t>Servicio ofrecido</w:t>
            </w:r>
          </w:p>
        </w:tc>
      </w:tr>
      <w:tr>
        <w:tc>
          <w:tcPr>
            <w:tcW w:type="dxa" w:w="5083"/>
          </w:tcPr>
          <w:p>
            <w:r>
              <w:t>Glucosa capilar</w:t>
            </w:r>
          </w:p>
        </w:tc>
        <w:tc>
          <w:tcPr>
            <w:tcW w:type="dxa" w:w="5083"/>
          </w:tcPr>
          <w:p>
            <w:r>
              <w:t>Servicio ofrecido</w:t>
            </w:r>
          </w:p>
        </w:tc>
      </w:tr>
      <w:tr>
        <w:tc>
          <w:tcPr>
            <w:tcW w:type="dxa" w:w="5083"/>
          </w:tcPr>
          <w:p>
            <w:r>
              <w:t>Peso corporal</w:t>
            </w:r>
          </w:p>
        </w:tc>
        <w:tc>
          <w:tcPr>
            <w:tcW w:type="dxa" w:w="5083"/>
          </w:tcPr>
          <w:p>
            <w:r>
              <w:t>Realizado a los participantes evaluados</w:t>
            </w:r>
          </w:p>
        </w:tc>
      </w:tr>
      <w:tr>
        <w:tc>
          <w:tcPr>
            <w:tcW w:type="dxa" w:w="5083"/>
          </w:tcPr>
          <w:p>
            <w:r>
              <w:t>Consejería de hábitos saludables</w:t>
            </w:r>
          </w:p>
        </w:tc>
        <w:tc>
          <w:tcPr>
            <w:tcW w:type="dxa" w:w="5083"/>
          </w:tcPr>
          <w:p>
            <w:r>
              <w:t>Servicio ofrecido</w:t>
            </w:r>
          </w:p>
        </w:tc>
      </w:tr>
      <w:tr>
        <w:tc>
          <w:tcPr>
            <w:tcW w:type="dxa" w:w="5083"/>
          </w:tcPr>
          <w:p>
            <w:r>
              <w:t>Orientación / referimiento</w:t>
            </w:r>
          </w:p>
        </w:tc>
        <w:tc>
          <w:tcPr>
            <w:tcW w:type="dxa" w:w="5083"/>
          </w:tcPr>
          <w:p>
            <w:r>
              <w:t>Según necesidad clínica</w:t>
            </w:r>
          </w:p>
        </w:tc>
      </w:tr>
    </w:tbl>
    <w:p>
      <w:pPr>
        <w:pStyle w:val="Heading1"/>
      </w:pPr>
      <w:r>
        <w:t>4. Impacto y continuidad</w:t>
      </w:r>
    </w:p>
    <w:p>
      <w:r>
        <w:t>Más allá de las mediciones realizadas, el valor de esta jornada estuvo en convertir cada contacto en una oportunidad educativa. La prevención adquiere verdadero sentido cuando una persona comprende sus resultados, reconoce sus factores de riesgo y sabe cuál debe ser su próximo paso. AHPSI reafirma su compromiso de continuar apoyando iniciativas comunitarias que reduzcan barreras de acceso, fortalezcan la educación en salud y promuevan el seguimiento oportuno.</w:t>
      </w:r>
    </w:p>
    <w:p>
      <w:pPr>
        <w:pStyle w:val="Heading1"/>
      </w:pPr>
      <w:r>
        <w:t>5. Agradecimiento al equipo de servicio</w:t>
      </w:r>
    </w:p>
    <w:p>
      <w:r>
        <w:t>AHPSI expresa su más profundo agradecimiento a los profesionales que hicieron posible este servicio: Dr. Kenia Feliz, Dr. Albert Méndez del Valle, Dra. Elizabeth Salas y Dr. Aritmedes Restituyo. Su tiempo, vocación de servicio, sensibilidad humana y compromiso con la prevención transformaron una jornada de tamizaje en un verdadero acto de solidaridad con nuestra comunidad. Cada presión tomada, cada glucosa medida, cada orientación ofrecida y cada referimiento recomendado representó una oportunidad para cuidar, educar y acompañar. Reciban nuestro reconocimiento por llevar la misión de AHPSI a la práctica con profesionalismo y corazón.</w:t>
      </w:r>
    </w:p>
    <w:p>
      <w:pPr>
        <w:pStyle w:val="Heading1"/>
      </w:pPr>
      <w:r>
        <w:t>6. Contacto</w:t>
      </w:r>
    </w:p>
    <w:p>
      <w:r>
        <w:rPr>
          <w:b/>
        </w:rPr>
        <w:t>Dr. Aritmedes Restituyo</w:t>
        <w:br/>
      </w:r>
      <w:r>
        <w:t>Asociación Hispana de Profesionales de la Salud, Inc. — AHPSI</w:t>
        <w:br/>
      </w:r>
      <w:r>
        <w:t>Tel.: 732-277-9640</w:t>
        <w:br/>
        <w:t>Email: info@ahpsi.org</w:t>
        <w:br/>
        <w:t>Web: www.ahpsi.org</w:t>
      </w:r>
    </w:p>
    <w:p>
      <w:pPr>
        <w:jc w:val="center"/>
      </w:pPr>
      <w:r>
        <w:rPr>
          <w:i/>
          <w:color w:val="2F5597"/>
        </w:rPr>
        <w:t>“Prevenir, educar y acompañar: salud comunitaria con propósito.”</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AHPSI | Reporte Final de Servicios — Boston 2026</w:t>
    </w:r>
  </w:p>
  <w:p>
    <w:pPr>
      <w:jc w:val="center"/>
    </w:pPr>
    <w:r>
      <w:rPr>
        <w:sz w:val="16"/>
      </w:rPr>
      <w:t xml:space="preserve">Página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color w:val="17365D"/>
        <w:sz w:val="18"/>
      </w:rPr>
      <w:t>ASOCIACIÓN HISPANA DE PROFESIONALES DE LA SALUD, INC. — AHPSI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2"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2F559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